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1E7B" w:rsidR="001B1E7B" w:rsidP="001B1E7B" w:rsidRDefault="001B1E7B" w14:paraId="36982136" w14:textId="3298FA67">
      <w:pPr>
        <w:pStyle w:val="Texto0"/>
        <w:spacing w:before="0" w:after="0" w:line="240" w:lineRule="auto"/>
        <w:jc w:val="center"/>
        <w:rPr>
          <w:b/>
          <w:sz w:val="28"/>
        </w:rPr>
      </w:pPr>
      <w:r w:rsidRPr="001B1E7B">
        <w:rPr>
          <w:b/>
          <w:sz w:val="28"/>
        </w:rPr>
        <w:t>CIRCULAR EXTERNA</w:t>
      </w:r>
    </w:p>
    <w:p w:rsidR="002C7E41" w:rsidP="001B1E7B" w:rsidRDefault="001B1E7B" w14:paraId="5BCC7C35" w14:textId="4A57A617">
      <w:pPr>
        <w:tabs>
          <w:tab w:val="left" w:pos="2843"/>
        </w:tabs>
        <w:spacing w:line="240" w:lineRule="auto"/>
        <w:jc w:val="center"/>
        <w:rPr>
          <w:sz w:val="24"/>
        </w:rPr>
      </w:pPr>
      <w:sdt>
        <w:sdtPr>
          <w:rPr>
            <w:sz w:val="24"/>
          </w:rPr>
          <w:alias w:val="Consecutivo"/>
          <w:tag w:val="Consecutivo"/>
          <w:id w:val="-2000112463"/>
          <w:placeholder>
            <w:docPart w:val="5A07AA4207A8482588656458D98B0D5C"/>
          </w:placeholder>
          <w:text/>
        </w:sdtPr>
        <w:sdtEndPr/>
        <w:sdtContent>
          <w:r>
            <w:t>SGF-1015-2019</w:t>
          </w:r>
        </w:sdtContent>
      </w:sdt>
      <w:r>
        <w:rPr>
          <w:sz w:val="24"/>
        </w:rPr>
        <w:t xml:space="preserve"> - </w:t>
      </w:r>
      <w:sdt>
        <w:sdtPr>
          <w:rPr>
            <w:sz w:val="24"/>
          </w:rPr>
          <w:alias w:val="Confidencialidad"/>
          <w:tag w:val="Confidencialidad"/>
          <w:id w:val="1447896894"/>
          <w:placeholder>
            <w:docPart w:val="8614B60ED670439C8FC88054D31C010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60341">
            <w:rPr>
              <w:sz w:val="24"/>
            </w:rPr>
            <w:t>SGF-PUBLICO</w:t>
          </w:r>
        </w:sdtContent>
      </w:sdt>
    </w:p>
    <w:p w:rsidRPr="008014B9" w:rsidR="001B1E7B" w:rsidP="001B1E7B" w:rsidRDefault="001B1E7B" w14:paraId="68E8CC37" w14:textId="77777777">
      <w:pPr>
        <w:pStyle w:val="Texto0"/>
        <w:spacing w:before="0" w:after="0" w:line="240" w:lineRule="auto"/>
        <w:jc w:val="center"/>
        <w:rPr>
          <w:sz w:val="24"/>
        </w:rPr>
      </w:pPr>
      <w:r>
        <w:rPr>
          <w:sz w:val="24"/>
        </w:rPr>
        <w:t>08</w:t>
      </w:r>
      <w:r w:rsidRPr="008014B9">
        <w:rPr>
          <w:sz w:val="24"/>
        </w:rPr>
        <w:t xml:space="preserve"> de </w:t>
      </w:r>
      <w:r>
        <w:rPr>
          <w:sz w:val="24"/>
        </w:rPr>
        <w:t xml:space="preserve">abril </w:t>
      </w:r>
      <w:r w:rsidRPr="008014B9">
        <w:rPr>
          <w:sz w:val="24"/>
        </w:rPr>
        <w:t>de</w:t>
      </w:r>
      <w:r>
        <w:rPr>
          <w:sz w:val="24"/>
        </w:rPr>
        <w:t>l 2019</w:t>
      </w:r>
    </w:p>
    <w:p w:rsidRPr="008014B9" w:rsidR="003554C5" w:rsidP="006C53CF" w:rsidRDefault="008F1461" w14:paraId="4EC5D9DD" w14:textId="77777777">
      <w:pPr>
        <w:tabs>
          <w:tab w:val="left" w:pos="2843"/>
        </w:tabs>
        <w:spacing w:line="240" w:lineRule="auto"/>
        <w:rPr>
          <w:sz w:val="24"/>
        </w:rPr>
      </w:pPr>
      <w:r w:rsidRPr="008014B9">
        <w:rPr>
          <w:sz w:val="24"/>
        </w:rPr>
        <w:tab/>
      </w:r>
    </w:p>
    <w:p w:rsidRPr="00E26974" w:rsidR="00D60341" w:rsidP="00D60341" w:rsidRDefault="00D60341" w14:paraId="1743E09C" w14:textId="77777777">
      <w:pPr>
        <w:tabs>
          <w:tab w:val="left" w:pos="2843"/>
        </w:tabs>
        <w:spacing w:line="240" w:lineRule="auto"/>
        <w:rPr>
          <w:sz w:val="24"/>
        </w:rPr>
      </w:pPr>
    </w:p>
    <w:p w:rsidRPr="00E26974" w:rsidR="00D60341" w:rsidP="00D60341" w:rsidRDefault="00D60341" w14:paraId="52E4C692" w14:textId="77777777">
      <w:pPr>
        <w:widowControl w:val="0"/>
        <w:spacing w:line="240" w:lineRule="auto"/>
        <w:ind w:left="34" w:right="86"/>
        <w:outlineLvl w:val="0"/>
        <w:rPr>
          <w:b/>
          <w:sz w:val="24"/>
          <w:lang w:val="es-CR"/>
        </w:rPr>
      </w:pPr>
      <w:r w:rsidRPr="00E26974">
        <w:rPr>
          <w:b/>
          <w:sz w:val="24"/>
          <w:lang w:val="es-CR"/>
        </w:rPr>
        <w:t xml:space="preserve">Dirigida a: </w:t>
      </w:r>
    </w:p>
    <w:p w:rsidRPr="00E26974" w:rsidR="00D60341" w:rsidP="00D60341" w:rsidRDefault="00D60341" w14:paraId="2DA2B1F2" w14:textId="77777777">
      <w:pPr>
        <w:widowControl w:val="0"/>
        <w:spacing w:line="240" w:lineRule="auto"/>
        <w:ind w:left="34" w:right="86"/>
        <w:outlineLvl w:val="0"/>
        <w:rPr>
          <w:b/>
          <w:sz w:val="24"/>
          <w:lang w:val="es-CR"/>
        </w:rPr>
      </w:pPr>
    </w:p>
    <w:p w:rsidRPr="00E26974" w:rsidR="00D60341" w:rsidP="00D60341" w:rsidRDefault="00D60341" w14:paraId="559161C3" w14:textId="77777777">
      <w:pPr>
        <w:widowControl w:val="0"/>
        <w:numPr>
          <w:ilvl w:val="0"/>
          <w:numId w:val="15"/>
        </w:numPr>
        <w:spacing w:after="200" w:line="240" w:lineRule="auto"/>
        <w:ind w:left="567" w:right="86" w:hanging="567"/>
        <w:contextualSpacing/>
        <w:rPr>
          <w:b/>
          <w:sz w:val="24"/>
          <w:lang w:val="es-CR" w:eastAsia="es-ES"/>
        </w:rPr>
      </w:pPr>
      <w:r w:rsidRPr="00E26974">
        <w:rPr>
          <w:b/>
          <w:sz w:val="24"/>
          <w:lang w:val="es-CR" w:eastAsia="es-ES"/>
        </w:rPr>
        <w:t>Bancos Comerciales del Estado</w:t>
      </w:r>
    </w:p>
    <w:p w:rsidRPr="00E26974" w:rsidR="00D60341" w:rsidP="00D60341" w:rsidRDefault="00D60341" w14:paraId="45604F4E" w14:textId="77777777">
      <w:pPr>
        <w:widowControl w:val="0"/>
        <w:numPr>
          <w:ilvl w:val="0"/>
          <w:numId w:val="15"/>
        </w:numPr>
        <w:spacing w:after="200" w:line="240" w:lineRule="auto"/>
        <w:ind w:left="567" w:right="86" w:hanging="567"/>
        <w:contextualSpacing/>
        <w:rPr>
          <w:b/>
          <w:sz w:val="24"/>
          <w:lang w:val="es-CR" w:eastAsia="es-ES"/>
        </w:rPr>
      </w:pPr>
      <w:r w:rsidRPr="00E26974">
        <w:rPr>
          <w:b/>
          <w:sz w:val="24"/>
          <w:lang w:val="es-CR" w:eastAsia="es-ES"/>
        </w:rPr>
        <w:t>Bancos Creados por Leyes Especiales</w:t>
      </w:r>
    </w:p>
    <w:p w:rsidRPr="00E26974" w:rsidR="00D60341" w:rsidP="00D60341" w:rsidRDefault="00D60341" w14:paraId="1ACF3888" w14:textId="77777777">
      <w:pPr>
        <w:widowControl w:val="0"/>
        <w:numPr>
          <w:ilvl w:val="0"/>
          <w:numId w:val="15"/>
        </w:numPr>
        <w:spacing w:after="200" w:line="240" w:lineRule="auto"/>
        <w:ind w:left="567" w:right="86" w:hanging="567"/>
        <w:contextualSpacing/>
        <w:rPr>
          <w:b/>
          <w:sz w:val="24"/>
          <w:lang w:val="es-CR" w:eastAsia="es-ES"/>
        </w:rPr>
      </w:pPr>
      <w:r w:rsidRPr="00E26974">
        <w:rPr>
          <w:b/>
          <w:sz w:val="24"/>
          <w:lang w:val="es-CR" w:eastAsia="es-ES"/>
        </w:rPr>
        <w:t>Bancos Privados</w:t>
      </w:r>
    </w:p>
    <w:p w:rsidRPr="00E26974" w:rsidR="00D60341" w:rsidP="00D60341" w:rsidRDefault="00D60341" w14:paraId="1AB8810A" w14:textId="77777777">
      <w:pPr>
        <w:widowControl w:val="0"/>
        <w:numPr>
          <w:ilvl w:val="0"/>
          <w:numId w:val="15"/>
        </w:numPr>
        <w:spacing w:after="200" w:line="240" w:lineRule="auto"/>
        <w:ind w:left="567" w:right="86" w:hanging="567"/>
        <w:contextualSpacing/>
        <w:rPr>
          <w:b/>
          <w:sz w:val="24"/>
          <w:lang w:val="es-CR" w:eastAsia="es-ES"/>
        </w:rPr>
      </w:pPr>
      <w:r w:rsidRPr="00E26974">
        <w:rPr>
          <w:b/>
          <w:sz w:val="24"/>
          <w:lang w:val="es-CR" w:eastAsia="es-ES"/>
        </w:rPr>
        <w:t>Empresas Financieras no Bancarias</w:t>
      </w:r>
    </w:p>
    <w:p w:rsidRPr="00E26974" w:rsidR="00D60341" w:rsidP="00D60341" w:rsidRDefault="00D60341" w14:paraId="333B28FC" w14:textId="77777777">
      <w:pPr>
        <w:widowControl w:val="0"/>
        <w:numPr>
          <w:ilvl w:val="0"/>
          <w:numId w:val="15"/>
        </w:numPr>
        <w:spacing w:after="200" w:line="240" w:lineRule="auto"/>
        <w:ind w:left="567" w:right="86" w:hanging="567"/>
        <w:contextualSpacing/>
        <w:rPr>
          <w:b/>
          <w:sz w:val="24"/>
          <w:lang w:val="es-CR" w:eastAsia="es-ES"/>
        </w:rPr>
      </w:pPr>
      <w:r w:rsidRPr="00E26974">
        <w:rPr>
          <w:b/>
          <w:sz w:val="24"/>
          <w:lang w:val="es-CR" w:eastAsia="es-ES"/>
        </w:rPr>
        <w:t>Otras Entidades Financieras</w:t>
      </w:r>
    </w:p>
    <w:p w:rsidRPr="00E26974" w:rsidR="00D60341" w:rsidP="00D60341" w:rsidRDefault="00D60341" w14:paraId="7FA028E7" w14:textId="77777777">
      <w:pPr>
        <w:widowControl w:val="0"/>
        <w:numPr>
          <w:ilvl w:val="0"/>
          <w:numId w:val="15"/>
        </w:numPr>
        <w:spacing w:after="200" w:line="240" w:lineRule="auto"/>
        <w:ind w:left="567" w:right="86" w:hanging="567"/>
        <w:contextualSpacing/>
        <w:rPr>
          <w:b/>
          <w:sz w:val="24"/>
          <w:lang w:val="es-CR" w:eastAsia="es-ES"/>
        </w:rPr>
      </w:pPr>
      <w:r w:rsidRPr="00E26974">
        <w:rPr>
          <w:b/>
          <w:sz w:val="24"/>
          <w:lang w:val="es-CR" w:eastAsia="es-ES"/>
        </w:rPr>
        <w:t>Organizaciones Cooperativas de Ahorro y Crédito</w:t>
      </w:r>
    </w:p>
    <w:p w:rsidRPr="00E26974" w:rsidR="00D60341" w:rsidP="00D60341" w:rsidRDefault="00D60341" w14:paraId="3E4E328F" w14:textId="77777777">
      <w:pPr>
        <w:widowControl w:val="0"/>
        <w:numPr>
          <w:ilvl w:val="0"/>
          <w:numId w:val="15"/>
        </w:numPr>
        <w:spacing w:after="200" w:line="240" w:lineRule="auto"/>
        <w:ind w:left="567" w:right="86" w:hanging="567"/>
        <w:contextualSpacing/>
        <w:rPr>
          <w:b/>
          <w:sz w:val="24"/>
          <w:lang w:val="es-CR" w:eastAsia="es-ES"/>
        </w:rPr>
      </w:pPr>
      <w:r w:rsidRPr="00E26974">
        <w:rPr>
          <w:b/>
          <w:sz w:val="24"/>
          <w:lang w:val="es-CR" w:eastAsia="es-ES"/>
        </w:rPr>
        <w:t>Entidades Autorizadas del Sistema Financiera Nacional para la Vivienda</w:t>
      </w:r>
    </w:p>
    <w:p w:rsidRPr="00E26974" w:rsidR="00D60341" w:rsidP="00D60341" w:rsidRDefault="00D60341" w14:paraId="58F66F8A" w14:textId="77777777">
      <w:pPr>
        <w:spacing w:line="240" w:lineRule="auto"/>
        <w:rPr>
          <w:sz w:val="24"/>
        </w:rPr>
      </w:pPr>
    </w:p>
    <w:p w:rsidRPr="00E26974" w:rsidR="00D60341" w:rsidP="00D60341" w:rsidRDefault="00D60341" w14:paraId="0121E7F0" w14:textId="77777777">
      <w:pPr>
        <w:pStyle w:val="Texto0"/>
        <w:spacing w:before="0" w:after="0" w:line="240" w:lineRule="auto"/>
        <w:rPr>
          <w:bCs/>
          <w:sz w:val="24"/>
        </w:rPr>
      </w:pPr>
      <w:r w:rsidRPr="00E26974">
        <w:rPr>
          <w:b/>
          <w:bCs/>
          <w:sz w:val="24"/>
        </w:rPr>
        <w:t>Asunto</w:t>
      </w:r>
      <w:r w:rsidRPr="00E26974">
        <w:rPr>
          <w:bCs/>
          <w:sz w:val="24"/>
        </w:rPr>
        <w:t xml:space="preserve">: Dato Adicional para el Cálculo de la Suficiencia Patrimonial de Grupos y Conglomerados Financieros </w:t>
      </w:r>
    </w:p>
    <w:p w:rsidRPr="00E26974" w:rsidR="00D60341" w:rsidP="00D60341" w:rsidRDefault="00D60341" w14:paraId="0CCB9DC2" w14:textId="77777777">
      <w:pPr>
        <w:pStyle w:val="NormalWeb"/>
        <w:spacing w:before="0" w:beforeAutospacing="0" w:after="0" w:afterAutospacing="0"/>
        <w:rPr>
          <w:rFonts w:ascii="Cambria" w:hAnsi="Cambria"/>
          <w:bCs/>
        </w:rPr>
      </w:pPr>
    </w:p>
    <w:p w:rsidRPr="00E26974" w:rsidR="00D60341" w:rsidP="00D60341" w:rsidRDefault="00D60341" w14:paraId="7A6FDE76" w14:textId="77777777">
      <w:pPr>
        <w:spacing w:line="240" w:lineRule="auto"/>
        <w:ind w:left="34"/>
        <w:jc w:val="left"/>
        <w:outlineLvl w:val="0"/>
        <w:rPr>
          <w:sz w:val="24"/>
        </w:rPr>
      </w:pPr>
      <w:r w:rsidRPr="00E26974">
        <w:rPr>
          <w:sz w:val="24"/>
        </w:rPr>
        <w:t>El Superintendente General de Entidades Financieras,</w:t>
      </w:r>
    </w:p>
    <w:p w:rsidRPr="00E26974" w:rsidR="00D60341" w:rsidP="00D60341" w:rsidRDefault="00D60341" w14:paraId="30B6490B" w14:textId="77777777">
      <w:pPr>
        <w:pStyle w:val="NormalWeb"/>
        <w:spacing w:before="0" w:beforeAutospacing="0" w:after="0" w:afterAutospacing="0"/>
        <w:rPr>
          <w:rFonts w:ascii="Cambria" w:hAnsi="Cambria"/>
          <w:bCs/>
        </w:rPr>
      </w:pPr>
    </w:p>
    <w:p w:rsidRPr="00E26974" w:rsidR="00D60341" w:rsidP="00D60341" w:rsidRDefault="00D60341" w14:paraId="5C1D0A14" w14:textId="77777777">
      <w:pPr>
        <w:pStyle w:val="Ttulo3"/>
        <w:spacing w:before="0" w:after="0"/>
        <w:ind w:left="0" w:firstLine="0"/>
        <w:contextualSpacing/>
        <w:jc w:val="left"/>
        <w:rPr>
          <w:rFonts w:ascii="Cambria" w:hAnsi="Cambria"/>
          <w:szCs w:val="24"/>
        </w:rPr>
      </w:pPr>
      <w:r w:rsidRPr="00E26974">
        <w:rPr>
          <w:rFonts w:ascii="Cambria" w:hAnsi="Cambria"/>
          <w:szCs w:val="24"/>
        </w:rPr>
        <w:t>Considerando que:</w:t>
      </w:r>
    </w:p>
    <w:p w:rsidRPr="00E26974" w:rsidR="00D60341" w:rsidP="00D60341" w:rsidRDefault="00D60341" w14:paraId="61188E5C" w14:textId="77777777">
      <w:pPr>
        <w:pStyle w:val="Ttulo3"/>
        <w:spacing w:before="0" w:after="0"/>
        <w:contextualSpacing/>
        <w:rPr>
          <w:rFonts w:ascii="Cambria" w:hAnsi="Cambria"/>
          <w:b w:val="0"/>
          <w:szCs w:val="24"/>
        </w:rPr>
      </w:pPr>
    </w:p>
    <w:p w:rsidRPr="00E26974" w:rsidR="00D60341" w:rsidP="00D60341" w:rsidRDefault="00D60341" w14:paraId="061A4B3F" w14:textId="77777777">
      <w:pPr>
        <w:pStyle w:val="Prrafodelista"/>
        <w:numPr>
          <w:ilvl w:val="0"/>
          <w:numId w:val="14"/>
        </w:numPr>
        <w:contextualSpacing/>
        <w:jc w:val="both"/>
        <w:rPr>
          <w:rFonts w:ascii="Cambria" w:hAnsi="Cambria"/>
        </w:rPr>
      </w:pPr>
      <w:r w:rsidRPr="00E26974">
        <w:rPr>
          <w:rFonts w:ascii="Cambria" w:hAnsi="Cambria"/>
        </w:rPr>
        <w:t>Que mediante el Sistema de Captura, Verificación y Carga de Datos (SICVECA), los Grupos y Conglomerados Financieros remiten a esta Superintendencia información financiera que complementa los balances, estados y cuentas de las entidades, entre ellas, un detalle de datos adicionales para el cálculo de la suficiencia patrimonial de grupos y conglomerados financieros.</w:t>
      </w:r>
    </w:p>
    <w:p w:rsidRPr="00E26974" w:rsidR="00D60341" w:rsidP="00D60341" w:rsidRDefault="00D60341" w14:paraId="39C571F9" w14:textId="77777777">
      <w:pPr>
        <w:pStyle w:val="Prrafodelista"/>
        <w:ind w:left="390"/>
        <w:contextualSpacing/>
        <w:jc w:val="both"/>
        <w:rPr>
          <w:rFonts w:ascii="Cambria" w:hAnsi="Cambria"/>
        </w:rPr>
      </w:pPr>
    </w:p>
    <w:p w:rsidRPr="00E26974" w:rsidR="00D60341" w:rsidP="00D60341" w:rsidRDefault="00D60341" w14:paraId="66B23F3D" w14:textId="77777777">
      <w:pPr>
        <w:pStyle w:val="Prrafodelista"/>
        <w:numPr>
          <w:ilvl w:val="0"/>
          <w:numId w:val="14"/>
        </w:numPr>
        <w:contextualSpacing/>
        <w:jc w:val="both"/>
        <w:rPr>
          <w:rFonts w:ascii="Cambria" w:hAnsi="Cambria"/>
        </w:rPr>
      </w:pPr>
      <w:r w:rsidRPr="00E26974">
        <w:rPr>
          <w:rFonts w:ascii="Cambria" w:hAnsi="Cambria"/>
        </w:rPr>
        <w:t xml:space="preserve">Que mediante circular externa SGF-0476-2019 del 14 de febrero del 2019 se dispone que para la información con corte a marzo de 2019, según el Transitorio V del Acuerdo SUGEF 3-06 corresponde aplicar un incremento de 10 puntos porcentuales para "los activos a plazo más pasivos contingentes denominados moneda extranjera en el Banco Central de Costa Rica y en el Gobierno de la República de Costa Rica", con lo cual el ponderador total sería del 85% para ese trimestre. </w:t>
      </w:r>
    </w:p>
    <w:p w:rsidRPr="00E26974" w:rsidR="00D60341" w:rsidP="00D60341" w:rsidRDefault="00D60341" w14:paraId="5F30E292" w14:textId="77777777">
      <w:pPr>
        <w:pStyle w:val="Prrafodelista"/>
        <w:rPr>
          <w:rFonts w:ascii="Cambria" w:hAnsi="Cambria"/>
        </w:rPr>
      </w:pPr>
    </w:p>
    <w:p w:rsidRPr="00E26974" w:rsidR="00D60341" w:rsidP="00D60341" w:rsidRDefault="00D60341" w14:paraId="7170EBF4" w14:textId="77777777">
      <w:pPr>
        <w:pStyle w:val="Prrafodelista"/>
        <w:ind w:left="390"/>
        <w:contextualSpacing/>
        <w:jc w:val="both"/>
        <w:rPr>
          <w:rFonts w:ascii="Cambria" w:hAnsi="Cambria"/>
        </w:rPr>
      </w:pPr>
      <w:r w:rsidRPr="00E26974">
        <w:rPr>
          <w:rFonts w:ascii="Cambria" w:hAnsi="Cambria"/>
        </w:rPr>
        <w:t>Adicionalmente, a partir de la información con corte a junio de 2019 y en concordancia con el Transitorio V citado, corresponde</w:t>
      </w:r>
      <w:r>
        <w:rPr>
          <w:rFonts w:ascii="Cambria" w:hAnsi="Cambria"/>
        </w:rPr>
        <w:t>ría</w:t>
      </w:r>
      <w:r w:rsidRPr="00E26974">
        <w:rPr>
          <w:rFonts w:ascii="Cambria" w:hAnsi="Cambria"/>
        </w:rPr>
        <w:t xml:space="preserve"> </w:t>
      </w:r>
      <w:r>
        <w:rPr>
          <w:rFonts w:ascii="Cambria" w:hAnsi="Cambria"/>
        </w:rPr>
        <w:t xml:space="preserve">(de mantenerse las calificaciones de riego país) </w:t>
      </w:r>
      <w:r w:rsidRPr="00E26974">
        <w:rPr>
          <w:rFonts w:ascii="Cambria" w:hAnsi="Cambria"/>
        </w:rPr>
        <w:t>incrementar el ponderador en 5 puntos porcentuales, a fin de aplicar una ponderación total del 90% a "los activos a plazo más pasivos contingentes denominados moneda extranjera en el Banco Central de Costa Rica y en el Gobierno de la República de Costa Rica".</w:t>
      </w:r>
    </w:p>
    <w:p w:rsidRPr="00E26974" w:rsidR="00D60341" w:rsidP="00D60341" w:rsidRDefault="00D60341" w14:paraId="1A2C3503" w14:textId="77777777">
      <w:pPr>
        <w:widowControl w:val="0"/>
        <w:contextualSpacing/>
        <w:rPr>
          <w:b/>
          <w:sz w:val="24"/>
        </w:rPr>
      </w:pPr>
      <w:r w:rsidRPr="00E26974">
        <w:rPr>
          <w:b/>
          <w:sz w:val="24"/>
        </w:rPr>
        <w:t>Comunica que:</w:t>
      </w:r>
    </w:p>
    <w:p w:rsidRPr="00E26974" w:rsidR="00D60341" w:rsidP="00D60341" w:rsidRDefault="00D60341" w14:paraId="2CFA6A31" w14:textId="77777777">
      <w:pPr>
        <w:widowControl w:val="0"/>
        <w:ind w:left="390"/>
        <w:contextualSpacing/>
        <w:rPr>
          <w:sz w:val="24"/>
        </w:rPr>
      </w:pPr>
    </w:p>
    <w:p w:rsidRPr="00E26974" w:rsidR="00D60341" w:rsidP="00D60341" w:rsidRDefault="00D60341" w14:paraId="1DC892D3" w14:textId="77777777">
      <w:pPr>
        <w:numPr>
          <w:ilvl w:val="0"/>
          <w:numId w:val="13"/>
        </w:numPr>
        <w:tabs>
          <w:tab w:val="clear" w:pos="786"/>
        </w:tabs>
        <w:spacing w:line="240" w:lineRule="auto"/>
        <w:ind w:left="426"/>
        <w:contextualSpacing/>
        <w:rPr>
          <w:sz w:val="24"/>
        </w:rPr>
      </w:pPr>
      <w:r w:rsidRPr="00E26974">
        <w:rPr>
          <w:sz w:val="24"/>
        </w:rPr>
        <w:t>Se ha habilitado el Dato Adicional 1645 Inversiones, valores y productos asociados, a ponderar por el 85</w:t>
      </w:r>
      <w:r>
        <w:rPr>
          <w:sz w:val="24"/>
        </w:rPr>
        <w:t xml:space="preserve"> </w:t>
      </w:r>
      <w:r w:rsidRPr="00E26974">
        <w:rPr>
          <w:sz w:val="24"/>
        </w:rPr>
        <w:t xml:space="preserve">(neto de estimaciones) para el registro de "los activos a plazo más pasivos contingentes denominados moneda extranjera en el Banco Central de Costa Rica y en el Gobierno de la República </w:t>
      </w:r>
      <w:r w:rsidRPr="00E26974">
        <w:rPr>
          <w:sz w:val="24"/>
        </w:rPr>
        <w:lastRenderedPageBreak/>
        <w:t xml:space="preserve">de Costa Rica", </w:t>
      </w:r>
      <w:r w:rsidRPr="00D60341">
        <w:rPr>
          <w:sz w:val="24"/>
        </w:rPr>
        <w:t>para el cálculo de la suficiencia patrimonial de grupos y conglomerados financieros.</w:t>
      </w:r>
    </w:p>
    <w:p w:rsidRPr="00E26974" w:rsidR="00D60341" w:rsidP="00D60341" w:rsidRDefault="00D60341" w14:paraId="32B564E5" w14:textId="77777777">
      <w:pPr>
        <w:spacing w:line="240" w:lineRule="auto"/>
        <w:ind w:left="426"/>
        <w:contextualSpacing/>
        <w:rPr>
          <w:sz w:val="24"/>
        </w:rPr>
      </w:pPr>
    </w:p>
    <w:p w:rsidRPr="00E26974" w:rsidR="00D60341" w:rsidP="00D60341" w:rsidRDefault="00D60341" w14:paraId="73EC8087" w14:textId="77777777">
      <w:pPr>
        <w:numPr>
          <w:ilvl w:val="0"/>
          <w:numId w:val="13"/>
        </w:numPr>
        <w:tabs>
          <w:tab w:val="clear" w:pos="786"/>
        </w:tabs>
        <w:spacing w:line="240" w:lineRule="auto"/>
        <w:ind w:left="426"/>
        <w:contextualSpacing/>
        <w:rPr>
          <w:i/>
          <w:sz w:val="24"/>
        </w:rPr>
      </w:pPr>
      <w:r w:rsidRPr="00E26974">
        <w:rPr>
          <w:sz w:val="24"/>
        </w:rPr>
        <w:t xml:space="preserve">Se ha publicado en el sitio Web de esta Superintendencia, en el Manual de Información-SICVECA, apartado </w:t>
      </w:r>
      <w:r w:rsidRPr="00E26974">
        <w:rPr>
          <w:i/>
          <w:sz w:val="24"/>
        </w:rPr>
        <w:t>“Tablas de datos”,</w:t>
      </w:r>
      <w:r w:rsidRPr="00E26974">
        <w:rPr>
          <w:sz w:val="24"/>
        </w:rPr>
        <w:t xml:space="preserve"> la versión actualizada de las </w:t>
      </w:r>
      <w:r w:rsidRPr="00E26974">
        <w:rPr>
          <w:i/>
          <w:sz w:val="24"/>
        </w:rPr>
        <w:t>“TablasDocumentacionXML_Primera Parte.doc”.</w:t>
      </w:r>
    </w:p>
    <w:p w:rsidRPr="00E26974" w:rsidR="00D60341" w:rsidP="00D60341" w:rsidRDefault="00D60341" w14:paraId="530BA4FE" w14:textId="77777777">
      <w:pPr>
        <w:contextualSpacing/>
        <w:rPr>
          <w:sz w:val="24"/>
        </w:rPr>
      </w:pPr>
    </w:p>
    <w:p w:rsidRPr="00E26974" w:rsidR="00D60341" w:rsidP="00D60341" w:rsidRDefault="00D60341" w14:paraId="00C5781F" w14:textId="77777777">
      <w:pPr>
        <w:numPr>
          <w:ilvl w:val="0"/>
          <w:numId w:val="13"/>
        </w:numPr>
        <w:tabs>
          <w:tab w:val="clear" w:pos="786"/>
        </w:tabs>
        <w:spacing w:line="240" w:lineRule="auto"/>
        <w:ind w:left="426"/>
        <w:contextualSpacing/>
        <w:rPr>
          <w:sz w:val="24"/>
        </w:rPr>
      </w:pPr>
      <w:r w:rsidRPr="00E26974">
        <w:rPr>
          <w:sz w:val="24"/>
        </w:rPr>
        <w:t>El citado cambio en la clase de datos</w:t>
      </w:r>
      <w:r w:rsidRPr="00E26974">
        <w:rPr>
          <w:i/>
          <w:sz w:val="24"/>
        </w:rPr>
        <w:t xml:space="preserve"> Información complementaria adicional de grupos y conglomerados, </w:t>
      </w:r>
      <w:r w:rsidRPr="00E26974">
        <w:rPr>
          <w:sz w:val="24"/>
        </w:rPr>
        <w:t>rige a partir del envío de la información trimestral (individual y consolidada) con corte al 31 de marzo del 2019</w:t>
      </w:r>
      <w:r>
        <w:rPr>
          <w:sz w:val="24"/>
        </w:rPr>
        <w:t xml:space="preserve"> que debe ser remitida a esta Superintendencia en el transcurso del mes de abril 2019.</w:t>
      </w:r>
    </w:p>
    <w:p w:rsidRPr="00E26974" w:rsidR="00D60341" w:rsidP="00D60341" w:rsidRDefault="00D60341" w14:paraId="329DFA8E" w14:textId="77777777">
      <w:pPr>
        <w:spacing w:line="240" w:lineRule="auto"/>
        <w:ind w:left="426"/>
        <w:contextualSpacing/>
        <w:rPr>
          <w:sz w:val="24"/>
        </w:rPr>
      </w:pPr>
    </w:p>
    <w:p w:rsidRPr="00E26974" w:rsidR="00D60341" w:rsidP="00D60341" w:rsidRDefault="00D60341" w14:paraId="71A1E364" w14:textId="02C0E983">
      <w:pPr>
        <w:numPr>
          <w:ilvl w:val="0"/>
          <w:numId w:val="13"/>
        </w:numPr>
        <w:tabs>
          <w:tab w:val="clear" w:pos="786"/>
        </w:tabs>
        <w:spacing w:line="240" w:lineRule="auto"/>
        <w:ind w:left="426"/>
        <w:contextualSpacing/>
        <w:rPr>
          <w:sz w:val="24"/>
        </w:rPr>
      </w:pPr>
      <w:r w:rsidRPr="00E26974">
        <w:rPr>
          <w:sz w:val="24"/>
        </w:rPr>
        <w:t xml:space="preserve">Para consultas, comunicarse a la dirección de correo:  </w:t>
      </w:r>
      <w:hyperlink w:history="1" r:id="rId13">
        <w:r w:rsidRPr="00EA687D" w:rsidR="001B1E7B">
          <w:rPr>
            <w:rStyle w:val="Hipervnculo"/>
            <w:sz w:val="24"/>
          </w:rPr>
          <w:t>ConsultasSicvecaGrupos@sugef.fi.cr</w:t>
        </w:r>
      </w:hyperlink>
      <w:r w:rsidR="001B1E7B">
        <w:rPr>
          <w:sz w:val="24"/>
        </w:rPr>
        <w:t xml:space="preserve">.   </w:t>
      </w:r>
    </w:p>
    <w:p w:rsidRPr="005558CC" w:rsidR="00D60341" w:rsidP="00D60341" w:rsidRDefault="00D60341" w14:paraId="6A9D5572" w14:textId="77777777">
      <w:pPr>
        <w:pStyle w:val="Prrafodelista"/>
      </w:pPr>
    </w:p>
    <w:p w:rsidRPr="008014B9" w:rsidR="0071134B" w:rsidP="006C53CF" w:rsidRDefault="001B1E7B" w14:paraId="518E28CA" w14:textId="008C4D06">
      <w:pPr>
        <w:spacing w:line="240" w:lineRule="auto"/>
        <w:rPr>
          <w:sz w:val="24"/>
        </w:rPr>
      </w:pPr>
      <w:r>
        <w:rPr>
          <w:noProof/>
          <w:lang w:val="es-CR" w:eastAsia="es-CR"/>
        </w:rPr>
        <w:drawing>
          <wp:anchor distT="0" distB="0" distL="114300" distR="114300" simplePos="0" relativeHeight="251658240" behindDoc="1" locked="0" layoutInCell="1" allowOverlap="1" wp14:editId="0DCFAFFC" wp14:anchorId="1368E7CA">
            <wp:simplePos x="0" y="0"/>
            <wp:positionH relativeFrom="column">
              <wp:posOffset>-182880</wp:posOffset>
            </wp:positionH>
            <wp:positionV relativeFrom="paragraph">
              <wp:posOffset>186690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014B9" w:rsidR="0071134B">
        <w:rPr>
          <w:sz w:val="24"/>
        </w:rPr>
        <w:t>Atentamente,</w:t>
      </w:r>
    </w:p>
    <w:p w:rsidRPr="008014B9" w:rsidR="000F34AE" w:rsidP="006C53CF" w:rsidRDefault="000F34AE" w14:paraId="55BFBA2D" w14:textId="05B4B4E4">
      <w:pPr>
        <w:spacing w:line="240" w:lineRule="auto"/>
        <w:rPr>
          <w:sz w:val="24"/>
        </w:rPr>
      </w:pPr>
    </w:p>
    <w:p w:rsidR="00844E29" w:rsidP="00233299" w:rsidRDefault="00844E29" w14:paraId="375646A9" w14:textId="00DEA3AF">
      <w:pPr>
        <w:jc w:val="left"/>
        <w:rPr>
          <w:sz w:val="24"/>
        </w:rPr>
      </w:pPr>
    </w:p>
    <w:p w:rsidR="00233299" w:rsidP="00233299" w:rsidRDefault="00233299" w14:paraId="03E193F8" w14:textId="0EADF74B">
      <w:pPr>
        <w:jc w:val="left"/>
        <w:rPr>
          <w:sz w:val="24"/>
        </w:rPr>
      </w:pPr>
      <w:r>
        <w:rPr>
          <w:sz w:val="24"/>
        </w:rPr>
        <w:t>Bernardo Alfaro A.</w:t>
      </w:r>
      <w:r>
        <w:rPr>
          <w:sz w:val="24"/>
        </w:rPr>
        <w:br/>
      </w:r>
      <w:r w:rsidRPr="00072CDB">
        <w:rPr>
          <w:b/>
          <w:sz w:val="24"/>
        </w:rPr>
        <w:t>Superintendente</w:t>
      </w:r>
    </w:p>
    <w:p w:rsidRPr="003204E8" w:rsidR="00BA112E" w:rsidP="00EB1B25" w:rsidRDefault="00984A65" w14:paraId="7FF64B02" w14:textId="17408451">
      <w:pPr>
        <w:pStyle w:val="Negrita"/>
        <w:tabs>
          <w:tab w:val="left" w:pos="6847"/>
        </w:tabs>
        <w:spacing w:line="240" w:lineRule="auto"/>
        <w:jc w:val="left"/>
      </w:pPr>
      <w:r w:rsidRPr="003204E8">
        <w:tab/>
      </w:r>
    </w:p>
    <w:p w:rsidR="001B1E7B" w:rsidP="0085692C" w:rsidRDefault="001B1E7B" w14:paraId="5A4993A4" w14:textId="77777777">
      <w:pPr>
        <w:pStyle w:val="Negrita"/>
        <w:rPr>
          <w:b w:val="0"/>
          <w:sz w:val="18"/>
        </w:rPr>
      </w:pPr>
    </w:p>
    <w:p w:rsidRPr="001B1E7B" w:rsidR="00577A95" w:rsidP="0085692C" w:rsidRDefault="001B1E7B" w14:paraId="26A89B97" w14:textId="3A5EB3D0">
      <w:pPr>
        <w:pStyle w:val="Negrita"/>
        <w:rPr>
          <w:b w:val="0"/>
          <w:sz w:val="18"/>
        </w:rPr>
      </w:pPr>
      <w:bookmarkStart w:name="_GoBack" w:id="0"/>
      <w:bookmarkEnd w:id="0"/>
      <w:r w:rsidRPr="001B1E7B">
        <w:rPr>
          <w:b w:val="0"/>
          <w:sz w:val="18"/>
        </w:rPr>
        <w:t>BAA/OMMB</w:t>
      </w:r>
    </w:p>
    <w:sectPr w:rsidRPr="001B1E7B" w:rsidR="00577A95" w:rsidSect="007975AD">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740BC" w14:textId="77777777" w:rsidR="00D60341" w:rsidRDefault="00D60341" w:rsidP="00D43D57">
      <w:r>
        <w:separator/>
      </w:r>
    </w:p>
  </w:endnote>
  <w:endnote w:type="continuationSeparator" w:id="0">
    <w:p w14:paraId="7204933F" w14:textId="77777777" w:rsidR="00D60341" w:rsidRDefault="00D6034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DAA43D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19BB84D7" w14:textId="77777777">
      <w:trPr>
        <w:trHeight w:val="546"/>
      </w:trPr>
      <w:tc>
        <w:tcPr>
          <w:tcW w:w="3189" w:type="dxa"/>
          <w:shd w:val="clear" w:color="auto" w:fill="FFFFFF"/>
          <w:vAlign w:val="center"/>
        </w:tcPr>
        <w:p w:rsidR="008F1461" w:rsidP="000C62BB" w:rsidRDefault="008F1461" w14:paraId="57F90BE2" w14:textId="77777777">
          <w:pPr>
            <w:pStyle w:val="Piepagina"/>
          </w:pPr>
          <w:r>
            <w:rPr>
              <w:b/>
              <w:bCs/>
            </w:rPr>
            <w:t>Teléfono</w:t>
          </w:r>
          <w:r>
            <w:t xml:space="preserve">   (506) 2243-4848</w:t>
          </w:r>
        </w:p>
        <w:p w:rsidR="008F1461" w:rsidP="000C62BB" w:rsidRDefault="008F1461" w14:paraId="0849BE36"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1012E0AE" w14:textId="77777777">
          <w:pPr>
            <w:pStyle w:val="Piepagina"/>
          </w:pPr>
          <w:r>
            <w:rPr>
              <w:b/>
              <w:bCs/>
            </w:rPr>
            <w:t>Apartado</w:t>
          </w:r>
          <w:r>
            <w:t xml:space="preserve"> 2762-1000</w:t>
          </w:r>
        </w:p>
        <w:p w:rsidR="008F1461" w:rsidP="000C62BB" w:rsidRDefault="008F1461" w14:paraId="3F423C7E" w14:textId="77777777">
          <w:pPr>
            <w:pStyle w:val="Piepagina"/>
          </w:pPr>
          <w:r>
            <w:t>San José, Costa Rica</w:t>
          </w:r>
        </w:p>
      </w:tc>
      <w:tc>
        <w:tcPr>
          <w:tcW w:w="2410" w:type="dxa"/>
          <w:shd w:val="clear" w:color="auto" w:fill="FFFFFF"/>
          <w:vAlign w:val="center"/>
        </w:tcPr>
        <w:p w:rsidR="008F1461" w:rsidP="000C62BB" w:rsidRDefault="008F1461" w14:paraId="6B1779F9" w14:textId="77777777">
          <w:pPr>
            <w:pStyle w:val="Piepagina"/>
          </w:pPr>
          <w:r>
            <w:t>www.sugef.fi.cr</w:t>
          </w:r>
        </w:p>
        <w:p w:rsidR="008F1461" w:rsidP="000C62BB" w:rsidRDefault="008F1461" w14:paraId="7EAF3B3E" w14:textId="77777777">
          <w:pPr>
            <w:pStyle w:val="Piepagina"/>
          </w:pPr>
          <w:r>
            <w:t>sugefcr@sugef.fi.cr</w:t>
          </w:r>
        </w:p>
      </w:tc>
      <w:tc>
        <w:tcPr>
          <w:tcW w:w="260" w:type="dxa"/>
          <w:shd w:val="clear" w:color="auto" w:fill="FFFFFF"/>
        </w:tcPr>
        <w:p w:rsidR="008F1461" w:rsidP="000C62BB" w:rsidRDefault="008F1461" w14:paraId="2380A80B" w14:textId="77777777">
          <w:pPr>
            <w:pStyle w:val="Piepagina"/>
          </w:pPr>
          <w:r>
            <w:fldChar w:fldCharType="begin"/>
          </w:r>
          <w:r>
            <w:instrText>PAGE   \* MERGEFORMAT</w:instrText>
          </w:r>
          <w:r>
            <w:fldChar w:fldCharType="separate"/>
          </w:r>
          <w:r w:rsidR="001B1E7B">
            <w:rPr>
              <w:noProof/>
            </w:rPr>
            <w:t>1</w:t>
          </w:r>
          <w:r>
            <w:fldChar w:fldCharType="end"/>
          </w:r>
        </w:p>
      </w:tc>
    </w:tr>
  </w:tbl>
  <w:p w:rsidRPr="000C62BB" w:rsidR="00590F07" w:rsidRDefault="00590F07" w14:paraId="49E3F396" w14:textId="77777777">
    <w:pPr>
      <w:pStyle w:val="Piedepgina"/>
      <w:jc w:val="right"/>
      <w:rPr>
        <w:color w:val="969696"/>
        <w:sz w:val="20"/>
        <w:szCs w:val="20"/>
      </w:rPr>
    </w:pPr>
  </w:p>
  <w:p w:rsidR="001C075B" w:rsidP="00FA54DF" w:rsidRDefault="001C075B" w14:paraId="4904A645"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BCA6E0A" w14:textId="77777777">
    <w:pPr>
      <w:pStyle w:val="Piepagina"/>
      <w:jc w:val="center"/>
    </w:pPr>
    <w:r>
      <w:rPr>
        <w:noProof/>
        <w:lang w:val="es-CR" w:eastAsia="es-CR"/>
      </w:rPr>
      <w:drawing>
        <wp:anchor distT="0" distB="0" distL="114300" distR="114300" simplePos="0" relativeHeight="251669504" behindDoc="1" locked="0" layoutInCell="1" allowOverlap="1" wp14:editId="73FBEDC5" wp14:anchorId="0B4BBF7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C516F9B" wp14:anchorId="22DDA6B7">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B335ED5" w14:textId="77777777">
                          <w:pPr>
                            <w:rPr>
                              <w:color w:val="003A68"/>
                              <w:sz w:val="14"/>
                              <w:szCs w:val="14"/>
                            </w:rPr>
                          </w:pPr>
                          <w:r w:rsidRPr="00FA54DF">
                            <w:rPr>
                              <w:color w:val="003A68"/>
                              <w:sz w:val="14"/>
                              <w:szCs w:val="14"/>
                            </w:rPr>
                            <w:t xml:space="preserve">T. (506) 2243-3631   </w:t>
                          </w:r>
                        </w:p>
                        <w:p w:rsidRPr="00FA54DF" w:rsidR="001C075B" w:rsidRDefault="001C075B" w14:paraId="0CC9DCD6" w14:textId="77777777">
                          <w:pPr>
                            <w:rPr>
                              <w:color w:val="003A68"/>
                              <w:sz w:val="14"/>
                              <w:szCs w:val="14"/>
                            </w:rPr>
                          </w:pPr>
                          <w:r w:rsidRPr="00FA54DF">
                            <w:rPr>
                              <w:color w:val="003A68"/>
                              <w:sz w:val="14"/>
                              <w:szCs w:val="14"/>
                            </w:rPr>
                            <w:t xml:space="preserve">F. (506) 2243-4579   </w:t>
                          </w:r>
                        </w:p>
                        <w:p w:rsidR="001C075B" w:rsidRDefault="001C075B" w14:paraId="3729ADD9" w14:textId="77777777">
                          <w:pPr>
                            <w:rPr>
                              <w:color w:val="003A68"/>
                              <w:sz w:val="14"/>
                              <w:szCs w:val="14"/>
                            </w:rPr>
                          </w:pPr>
                          <w:r w:rsidRPr="00FA54DF">
                            <w:rPr>
                              <w:color w:val="003A68"/>
                              <w:sz w:val="14"/>
                              <w:szCs w:val="14"/>
                            </w:rPr>
                            <w:t>Apdo. 10058-1000</w:t>
                          </w:r>
                        </w:p>
                        <w:p w:rsidR="001C075B" w:rsidRDefault="001C075B" w14:paraId="54FF28D6" w14:textId="77777777">
                          <w:pPr>
                            <w:rPr>
                              <w:color w:val="003A68"/>
                              <w:sz w:val="14"/>
                              <w:szCs w:val="14"/>
                            </w:rPr>
                          </w:pPr>
                          <w:r w:rsidRPr="00FA54DF">
                            <w:rPr>
                              <w:color w:val="003A68"/>
                              <w:sz w:val="14"/>
                              <w:szCs w:val="14"/>
                            </w:rPr>
                            <w:t>Av. 1 y Central, Calles 2 y 4</w:t>
                          </w:r>
                        </w:p>
                        <w:p w:rsidRPr="00FA54DF" w:rsidR="001C075B" w:rsidRDefault="001C075B" w14:paraId="5BCE6CC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DDA6B7">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B335ED5" w14:textId="77777777">
                    <w:pPr>
                      <w:rPr>
                        <w:color w:val="003A68"/>
                        <w:sz w:val="14"/>
                        <w:szCs w:val="14"/>
                      </w:rPr>
                    </w:pPr>
                    <w:r w:rsidRPr="00FA54DF">
                      <w:rPr>
                        <w:color w:val="003A68"/>
                        <w:sz w:val="14"/>
                        <w:szCs w:val="14"/>
                      </w:rPr>
                      <w:t xml:space="preserve">T. (506) 2243-3631   </w:t>
                    </w:r>
                  </w:p>
                  <w:p w:rsidRPr="00FA54DF" w:rsidR="001C075B" w:rsidRDefault="001C075B" w14:paraId="0CC9DCD6" w14:textId="77777777">
                    <w:pPr>
                      <w:rPr>
                        <w:color w:val="003A68"/>
                        <w:sz w:val="14"/>
                        <w:szCs w:val="14"/>
                      </w:rPr>
                    </w:pPr>
                    <w:r w:rsidRPr="00FA54DF">
                      <w:rPr>
                        <w:color w:val="003A68"/>
                        <w:sz w:val="14"/>
                        <w:szCs w:val="14"/>
                      </w:rPr>
                      <w:t xml:space="preserve">F. (506) 2243-4579   </w:t>
                    </w:r>
                  </w:p>
                  <w:p w:rsidR="001C075B" w:rsidRDefault="001C075B" w14:paraId="3729ADD9" w14:textId="77777777">
                    <w:pPr>
                      <w:rPr>
                        <w:color w:val="003A68"/>
                        <w:sz w:val="14"/>
                        <w:szCs w:val="14"/>
                      </w:rPr>
                    </w:pPr>
                    <w:r w:rsidRPr="00FA54DF">
                      <w:rPr>
                        <w:color w:val="003A68"/>
                        <w:sz w:val="14"/>
                        <w:szCs w:val="14"/>
                      </w:rPr>
                      <w:t>Apdo. 10058-1000</w:t>
                    </w:r>
                  </w:p>
                  <w:p w:rsidR="001C075B" w:rsidRDefault="001C075B" w14:paraId="54FF28D6" w14:textId="77777777">
                    <w:pPr>
                      <w:rPr>
                        <w:color w:val="003A68"/>
                        <w:sz w:val="14"/>
                        <w:szCs w:val="14"/>
                      </w:rPr>
                    </w:pPr>
                    <w:r w:rsidRPr="00FA54DF">
                      <w:rPr>
                        <w:color w:val="003A68"/>
                        <w:sz w:val="14"/>
                        <w:szCs w:val="14"/>
                      </w:rPr>
                      <w:t>Av. 1 y Central, Calles 2 y 4</w:t>
                    </w:r>
                  </w:p>
                  <w:p w:rsidRPr="00FA54DF" w:rsidR="001C075B" w:rsidRDefault="001C075B" w14:paraId="5BCE6CC3" w14:textId="77777777">
                    <w:pPr>
                      <w:rPr>
                        <w:color w:val="003A68"/>
                        <w:sz w:val="14"/>
                        <w:szCs w:val="14"/>
                      </w:rPr>
                    </w:pPr>
                  </w:p>
                </w:txbxContent>
              </v:textbox>
            </v:shape>
          </w:pict>
        </mc:Fallback>
      </mc:AlternateContent>
    </w:r>
  </w:p>
  <w:p w:rsidRPr="00D43D57" w:rsidR="001C075B" w:rsidP="008C0BF0" w:rsidRDefault="001C075B" w14:paraId="2FEC5278" w14:textId="77777777">
    <w:pPr>
      <w:pStyle w:val="Piepagina"/>
      <w:jc w:val="center"/>
    </w:pPr>
  </w:p>
  <w:p w:rsidR="001C075B" w:rsidRDefault="001C075B" w14:paraId="1824A17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42331" w14:textId="77777777" w:rsidR="00D60341" w:rsidRDefault="00D60341" w:rsidP="00D43D57">
      <w:r>
        <w:separator/>
      </w:r>
    </w:p>
  </w:footnote>
  <w:footnote w:type="continuationSeparator" w:id="0">
    <w:p w14:paraId="330486EA" w14:textId="77777777" w:rsidR="00D60341" w:rsidRDefault="00D60341"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7ABF83D" w14:textId="77777777">
    <w:pPr>
      <w:pStyle w:val="Piedepgina"/>
      <w:jc w:val="center"/>
    </w:pPr>
    <w:r>
      <w:rPr>
        <w:noProof/>
        <w:lang w:val="es-CR" w:eastAsia="es-CR"/>
      </w:rPr>
      <w:drawing>
        <wp:inline distT="0" distB="0" distL="0" distR="0" wp14:anchorId="60FC863E" wp14:editId="52B6D84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02B3A7A7" w14:textId="77777777">
    <w:pPr>
      <w:pStyle w:val="Encabezado"/>
      <w:pBdr>
        <w:bottom w:val="single" w:color="auto" w:sz="4" w:space="3"/>
      </w:pBdr>
      <w:ind w:right="-1"/>
      <w:rPr>
        <w:b/>
        <w:sz w:val="20"/>
        <w:szCs w:val="20"/>
      </w:rPr>
    </w:pPr>
    <w:r>
      <w:rPr>
        <w:noProof/>
        <w:lang w:val="es-CR" w:eastAsia="es-CR"/>
      </w:rPr>
      <w:drawing>
        <wp:inline distT="0" distB="0" distL="0" distR="0" wp14:anchorId="4B94213D" wp14:editId="0CCC0E4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13369DD"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A690F"/>
    <w:multiLevelType w:val="hybridMultilevel"/>
    <w:tmpl w:val="41A0EBEA"/>
    <w:lvl w:ilvl="0" w:tplc="B1883C14">
      <w:start w:val="1"/>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41"/>
    <w:rsid w:val="000064A4"/>
    <w:rsid w:val="000235B5"/>
    <w:rsid w:val="00026C85"/>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51D8C"/>
    <w:rsid w:val="0016220C"/>
    <w:rsid w:val="001653C6"/>
    <w:rsid w:val="001946F4"/>
    <w:rsid w:val="001A6574"/>
    <w:rsid w:val="001B1E7B"/>
    <w:rsid w:val="001C075B"/>
    <w:rsid w:val="001C1F7B"/>
    <w:rsid w:val="001C5806"/>
    <w:rsid w:val="001E0448"/>
    <w:rsid w:val="00230C67"/>
    <w:rsid w:val="00233299"/>
    <w:rsid w:val="002645B7"/>
    <w:rsid w:val="002A3AF0"/>
    <w:rsid w:val="002C56A4"/>
    <w:rsid w:val="002C7E41"/>
    <w:rsid w:val="002E3589"/>
    <w:rsid w:val="002E56D1"/>
    <w:rsid w:val="002E571B"/>
    <w:rsid w:val="002F08D5"/>
    <w:rsid w:val="003060E2"/>
    <w:rsid w:val="00310570"/>
    <w:rsid w:val="00317BBB"/>
    <w:rsid w:val="003204E8"/>
    <w:rsid w:val="00322A87"/>
    <w:rsid w:val="003267FB"/>
    <w:rsid w:val="003312B8"/>
    <w:rsid w:val="003503A2"/>
    <w:rsid w:val="003554C5"/>
    <w:rsid w:val="00355B90"/>
    <w:rsid w:val="00365794"/>
    <w:rsid w:val="00373B22"/>
    <w:rsid w:val="003C4C71"/>
    <w:rsid w:val="003E4EDB"/>
    <w:rsid w:val="00410551"/>
    <w:rsid w:val="00412618"/>
    <w:rsid w:val="00413CF9"/>
    <w:rsid w:val="00414B77"/>
    <w:rsid w:val="00427002"/>
    <w:rsid w:val="00437A93"/>
    <w:rsid w:val="00447A41"/>
    <w:rsid w:val="004822E6"/>
    <w:rsid w:val="00492FE3"/>
    <w:rsid w:val="004D7F44"/>
    <w:rsid w:val="004F05CA"/>
    <w:rsid w:val="004F74E7"/>
    <w:rsid w:val="005105C4"/>
    <w:rsid w:val="0053623F"/>
    <w:rsid w:val="00550D78"/>
    <w:rsid w:val="00557369"/>
    <w:rsid w:val="005706D1"/>
    <w:rsid w:val="005751FC"/>
    <w:rsid w:val="00577A95"/>
    <w:rsid w:val="0058011B"/>
    <w:rsid w:val="00590F07"/>
    <w:rsid w:val="0059392E"/>
    <w:rsid w:val="005B448F"/>
    <w:rsid w:val="005C173B"/>
    <w:rsid w:val="005D7058"/>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6F1F3F"/>
    <w:rsid w:val="0071134B"/>
    <w:rsid w:val="00714DC4"/>
    <w:rsid w:val="00727B7A"/>
    <w:rsid w:val="0074397B"/>
    <w:rsid w:val="007455FF"/>
    <w:rsid w:val="00750A51"/>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44E29"/>
    <w:rsid w:val="0085692C"/>
    <w:rsid w:val="00864362"/>
    <w:rsid w:val="00887400"/>
    <w:rsid w:val="00892708"/>
    <w:rsid w:val="00893B0D"/>
    <w:rsid w:val="00895097"/>
    <w:rsid w:val="008A1AA2"/>
    <w:rsid w:val="008A3B33"/>
    <w:rsid w:val="008A63B7"/>
    <w:rsid w:val="008B3838"/>
    <w:rsid w:val="008C0BF0"/>
    <w:rsid w:val="008D0528"/>
    <w:rsid w:val="008E5850"/>
    <w:rsid w:val="008F1461"/>
    <w:rsid w:val="008F33F5"/>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7FE"/>
    <w:rsid w:val="009E0EAB"/>
    <w:rsid w:val="009F54CB"/>
    <w:rsid w:val="00A26E9E"/>
    <w:rsid w:val="00A34523"/>
    <w:rsid w:val="00A76A2E"/>
    <w:rsid w:val="00A84CDB"/>
    <w:rsid w:val="00A906DD"/>
    <w:rsid w:val="00AC5138"/>
    <w:rsid w:val="00AE3929"/>
    <w:rsid w:val="00AF45B7"/>
    <w:rsid w:val="00B079EC"/>
    <w:rsid w:val="00B1318C"/>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6A33"/>
    <w:rsid w:val="00BE7B10"/>
    <w:rsid w:val="00C039CE"/>
    <w:rsid w:val="00C1795E"/>
    <w:rsid w:val="00C22C6C"/>
    <w:rsid w:val="00C414C9"/>
    <w:rsid w:val="00C42047"/>
    <w:rsid w:val="00C5093E"/>
    <w:rsid w:val="00C60480"/>
    <w:rsid w:val="00C64425"/>
    <w:rsid w:val="00C809BA"/>
    <w:rsid w:val="00C9305E"/>
    <w:rsid w:val="00CB07CA"/>
    <w:rsid w:val="00CB3E71"/>
    <w:rsid w:val="00D03728"/>
    <w:rsid w:val="00D06E99"/>
    <w:rsid w:val="00D102F8"/>
    <w:rsid w:val="00D10AD8"/>
    <w:rsid w:val="00D2424F"/>
    <w:rsid w:val="00D32808"/>
    <w:rsid w:val="00D43D57"/>
    <w:rsid w:val="00D45FC0"/>
    <w:rsid w:val="00D54C08"/>
    <w:rsid w:val="00D55CA3"/>
    <w:rsid w:val="00D60341"/>
    <w:rsid w:val="00D636B6"/>
    <w:rsid w:val="00D8006F"/>
    <w:rsid w:val="00D900BF"/>
    <w:rsid w:val="00D96D0A"/>
    <w:rsid w:val="00DB3508"/>
    <w:rsid w:val="00DB3E70"/>
    <w:rsid w:val="00DC2193"/>
    <w:rsid w:val="00DC3B8E"/>
    <w:rsid w:val="00DE08C6"/>
    <w:rsid w:val="00E11252"/>
    <w:rsid w:val="00E13C47"/>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533CD"/>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550FC3"/>
  <w15:docId w15:val="{5BD781CA-595A-4A17-B85E-7907224B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qFormat/>
    <w:locked/>
    <w:rsid w:val="00D60341"/>
    <w:pPr>
      <w:keepNext/>
      <w:spacing w:before="120" w:after="120" w:line="240" w:lineRule="auto"/>
      <w:ind w:left="3539" w:firstLine="709"/>
      <w:outlineLvl w:val="2"/>
    </w:pPr>
    <w:rPr>
      <w:rFonts w:ascii="Times New Roman" w:hAnsi="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character" w:customStyle="1" w:styleId="Ttulo3Car">
    <w:name w:val="Título 3 Car"/>
    <w:basedOn w:val="Fuentedeprrafopredeter"/>
    <w:link w:val="Ttulo3"/>
    <w:rsid w:val="00D60341"/>
    <w:rPr>
      <w:rFonts w:ascii="Times New Roman" w:eastAsia="Times New Roman" w:hAnsi="Times New Roman"/>
      <w:b/>
      <w:sz w:val="24"/>
      <w:lang w:val="es-MX" w:eastAsia="es-ES"/>
    </w:rPr>
  </w:style>
  <w:style w:type="paragraph" w:styleId="NormalWeb">
    <w:name w:val="Normal (Web)"/>
    <w:basedOn w:val="Normal"/>
    <w:locked/>
    <w:rsid w:val="00D60341"/>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D60341"/>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D60341"/>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locked/>
    <w:rsid w:val="001B1E7B"/>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sSicvecaGrupos@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07AA4207A8482588656458D98B0D5C"/>
        <w:category>
          <w:name w:val="General"/>
          <w:gallery w:val="placeholder"/>
        </w:category>
        <w:types>
          <w:type w:val="bbPlcHdr"/>
        </w:types>
        <w:behaviors>
          <w:behavior w:val="content"/>
        </w:behaviors>
        <w:guid w:val="{B5AED3A7-FD0D-493A-A430-59CCE5A491E1}"/>
      </w:docPartPr>
      <w:docPartBody>
        <w:p w:rsidR="00F37793" w:rsidRDefault="00F37793">
          <w:pPr>
            <w:pStyle w:val="5A07AA4207A8482588656458D98B0D5C"/>
          </w:pPr>
          <w:r w:rsidRPr="002B4B22">
            <w:rPr>
              <w:rStyle w:val="Textodelmarcadordeposicin"/>
            </w:rPr>
            <w:t>Haga clic aquí para escribir texto.</w:t>
          </w:r>
        </w:p>
      </w:docPartBody>
    </w:docPart>
    <w:docPart>
      <w:docPartPr>
        <w:name w:val="8614B60ED670439C8FC88054D31C0105"/>
        <w:category>
          <w:name w:val="General"/>
          <w:gallery w:val="placeholder"/>
        </w:category>
        <w:types>
          <w:type w:val="bbPlcHdr"/>
        </w:types>
        <w:behaviors>
          <w:behavior w:val="content"/>
        </w:behaviors>
        <w:guid w:val="{B5168E03-28BB-4A68-893F-B07FA29A6EA4}"/>
      </w:docPartPr>
      <w:docPartBody>
        <w:p w:rsidR="00F37793" w:rsidRDefault="00F37793">
          <w:pPr>
            <w:pStyle w:val="8614B60ED670439C8FC88054D31C010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93"/>
    <w:rsid w:val="00F377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5A07AA4207A8482588656458D98B0D5C">
    <w:name w:val="5A07AA4207A8482588656458D98B0D5C"/>
  </w:style>
  <w:style w:type="paragraph" w:customStyle="1" w:styleId="8614B60ED670439C8FC88054D31C0105">
    <w:name w:val="8614B60ED670439C8FC88054D31C0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AbaM5pd+oHabt19mtQBz5V9EXcAozDuTZi3rPbvyQT4=</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8VlZiQV+wYSWrh9FzH2bQbFLmXvlIzsEL/rU73rlPzQ=</DigestValue>
    </Reference>
  </SignedInfo>
  <SignatureValue>BLVnl55MMp/9z2wo+On+se+9uHXe09dCwTvAplay3kZYw9oH/7SYC4LwovK1IRsaoPr4KNI2qrUw
Gso3phOeoRWOrhWnR4G0NK/sPJrBrVbxvaq1vV79REtiLSq37CwHArH0UEPbSb/mNdts8LxL9z4S
djY4uHyXffSJMbniQNBpt+Ydmr6lRV35EhhVGC9BL082+/Ro+wlyuHV61M2z5R2QXf3qspxkYRb3
J8X1eerCYOOiNo+X2Zowhn0aHEixcTkgN8YXQz2WEXIof5mLFn38qDQlaOW+Z3D7dpkp/4D7Uw+J
fI3gZRkTI0g4z6CVxT4hESXK/M9rIkU17Pk3zQ==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MGBpBPQyUeYH1H4bfhZRp32+HA8a+kckdYmAaxnLdJ8=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1CN0L89mvsMA3anJnzVRXfg41msnTUfe1uxZJ0ZI/JE=</DigestValue>
      </Reference>
      <Reference URI="/word/endnotes.xml?ContentType=application/vnd.openxmlformats-officedocument.wordprocessingml.endnotes+xml">
        <DigestMethod Algorithm="http://www.w3.org/2001/04/xmlenc#sha256"/>
        <DigestValue>uPHJbJVKTRr5v96x53Y2Y7+L4Tx+3gDIZ/9DxTmZe0U=</DigestValue>
      </Reference>
      <Reference URI="/word/fontTable.xml?ContentType=application/vnd.openxmlformats-officedocument.wordprocessingml.fontTable+xml">
        <DigestMethod Algorithm="http://www.w3.org/2001/04/xmlenc#sha256"/>
        <DigestValue>hu0ZSYJpLnBRXKoAnQ+poLh7YPiiU/oMFB0TAAK3KFI=</DigestValue>
      </Reference>
      <Reference URI="/word/footer1.xml?ContentType=application/vnd.openxmlformats-officedocument.wordprocessingml.footer+xml">
        <DigestMethod Algorithm="http://www.w3.org/2001/04/xmlenc#sha256"/>
        <DigestValue>7WxX/jS1b8Bl6xWCi2kj1qpy2y2wTA96xxwOYxzLhUc=</DigestValue>
      </Reference>
      <Reference URI="/word/footer2.xml?ContentType=application/vnd.openxmlformats-officedocument.wordprocessingml.footer+xml">
        <DigestMethod Algorithm="http://www.w3.org/2001/04/xmlenc#sha256"/>
        <DigestValue>kwZAEmxfjvPT/RG6CY4Iu/gGV9hGRxsLRl8mZsD3Hms=</DigestValue>
      </Reference>
      <Reference URI="/word/footnotes.xml?ContentType=application/vnd.openxmlformats-officedocument.wordprocessingml.footnotes+xml">
        <DigestMethod Algorithm="http://www.w3.org/2001/04/xmlenc#sha256"/>
        <DigestValue>o3K6eJ95SI2kwsG0OJrWGw4j2VuiZuj9LnMfJHN/Pyg=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vO6KQH7629bbuNpo7NEG0WsZsrnXSdGeA9zecdNsnnw=</DigestValue>
      </Reference>
      <Reference URI="/word/glossary/fontTable.xml?ContentType=application/vnd.openxmlformats-officedocument.wordprocessingml.fontTable+xml">
        <DigestMethod Algorithm="http://www.w3.org/2001/04/xmlenc#sha256"/>
        <DigestValue>kjCY2WqU3q5leeG8cTvj+DqhbnUP4Lae4HsaPYZrVRM=</DigestValue>
      </Reference>
      <Reference URI="/word/glossary/settings.xml?ContentType=application/vnd.openxmlformats-officedocument.wordprocessingml.settings+xml">
        <DigestMethod Algorithm="http://www.w3.org/2001/04/xmlenc#sha256"/>
        <DigestValue>t9Docq/1E2q6bfOMJti8LpAc5qqQ6oQfuq2FUleEdrA=</DigestValue>
      </Reference>
      <Reference URI="/word/glossary/styles.xml?ContentType=application/vnd.openxmlformats-officedocument.wordprocessingml.styles+xml">
        <DigestMethod Algorithm="http://www.w3.org/2001/04/xmlenc#sha256"/>
        <DigestValue>mt1TkZWYgKStJYMcVH6o5SP3+gEgqAzXIKQb/YNP/xU=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2KeyJ2e91fsuPX2AkdebpvX2zrhvHJ7yceXvb9fv7XM=</DigestValue>
      </Reference>
      <Reference URI="/word/header2.xml?ContentType=application/vnd.openxmlformats-officedocument.wordprocessingml.header+xml">
        <DigestMethod Algorithm="http://www.w3.org/2001/04/xmlenc#sha256"/>
        <DigestValue>pqJF7tecFEvjWPSgSLncyiOjLnqiNmFhFtSP4z5ZZ/I=</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Nscb5sNmyQSNLRtRu5Eea6b3lZktGfsd53A1Rls3h84=</DigestValue>
      </Reference>
      <Reference URI="/word/settings.xml?ContentType=application/vnd.openxmlformats-officedocument.wordprocessingml.settings+xml">
        <DigestMethod Algorithm="http://www.w3.org/2001/04/xmlenc#sha256"/>
        <DigestValue>mtcLBlCpeKjru97YD+UtL/GT+97Qc1V2ueXozueKZ8c=</DigestValue>
      </Reference>
      <Reference URI="/word/styles.xml?ContentType=application/vnd.openxmlformats-officedocument.wordprocessingml.styles+xml">
        <DigestMethod Algorithm="http://www.w3.org/2001/04/xmlenc#sha256"/>
        <DigestValue>CUwCCIXTPWIpkZ0NejVEMe+zpFOT+nlaP1qTuS2B+GY=</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2019-04-09T19:23:56Z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2019-04-09T19:23:56Z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UserInfo>
        <DisplayName>i:0#.w|pdc-atlantida\sanchocc</DisplayName>
        <AccountId>1728</AccountId>
        <AccountType/>
      </UserInfo>
      <UserInfo>
        <DisplayName>i:0#.w|pdc-atlantida\arriolaca</DisplayName>
        <AccountId>1825</AccountId>
        <AccountType/>
      </UserInfo>
      <UserInfo>
        <DisplayName>i:0#.w|pdc-atlantida\hernandezam</DisplayName>
        <AccountId>307</AccountId>
        <AccountType/>
      </UserInfo>
    </InformarA>
    <EstadoCorrespondencia xmlns="b875e23b-67d9-4b2e-bdec-edacbf90b326">Aprobado para envío</EstadoCorrespondencia>
    <FechaEnvio xmlns="b875e23b-67d9-4b2e-bdec-edacbf90b326">2019-04-09T06:00:00+00:00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Dirigida a: 
Bancos Comerciales del Estado
Bancos Creados por Leyes Especiales
Bancos Privados
Empresas Financieras no Bancarias
Otras Entidades Financieras
Organizaciones Cooperativas de Ahorro y Crédito
Entidades Autorizadas del Sistema Financiera Nacional para la Vivienda</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2019-04-08T06:00:00+00:00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dato 1645 Grupos y conglomerados</Subject1>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17AE-E04F-4DBA-ADBB-9AB02A32DEDA}"/>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0B306CF4-E077-4098-87AA-B89D2BD13DFF}"/>
</file>

<file path=customXml/itemProps4.xml><?xml version="1.0" encoding="utf-8"?>
<ds:datastoreItem xmlns:ds="http://schemas.openxmlformats.org/officeDocument/2006/customXml" ds:itemID="{282F545F-C222-47E2-8582-EEFA77ADBE01}"/>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84A9916A-419B-459D-9E5B-FA380E851544}"/>
</file>

<file path=docProps/app.xml><?xml version="1.0" encoding="utf-8"?>
<Properties xmlns="http://schemas.openxmlformats.org/officeDocument/2006/extended-properties" xmlns:vt="http://schemas.openxmlformats.org/officeDocument/2006/docPropsVTypes">
  <Template>Normal.dotm</Template>
  <TotalTime>44</TotalTime>
  <Pages>2</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Alejandra Arias Alfaro</cp:lastModifiedBy>
  <cp:revision>2</cp:revision>
  <cp:lastPrinted>2015-07-30T22:36:00Z</cp:lastPrinted>
  <dcterms:created xsi:type="dcterms:W3CDTF">2019-04-08T19:15:00Z</dcterms:created>
  <dcterms:modified xsi:type="dcterms:W3CDTF">2019-04-08T20:35:00Z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10800</vt:r8>
  </property>
  <property fmtid="{D5CDD505-2E9C-101B-9397-08002B2CF9AE}" pid="14" name="Confidencialidad">
    <vt:lpwstr>Público|99c2402f-8ec3-4ca8-8024-be52e4e7f629</vt:lpwstr>
  </property>
  <property fmtid="{D5CDD505-2E9C-101B-9397-08002B2CF9AE}" pid="15" name="WorkflowChangePath">
    <vt:lpwstr>db02241f-29c2-4291-a3e5-2279928b3947,4;d0e83af1-b0eb-40a2-ba65-b7f8bb3cd533,6;</vt:lpwstr>
  </property>
</Properties>
</file>